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3" w:rsidRDefault="002379A3" w:rsidP="002379A3">
      <w:pPr>
        <w:pStyle w:val="Heading1"/>
      </w:pPr>
      <w:bookmarkStart w:id="0" w:name="_GoBack"/>
      <w:bookmarkEnd w:id="0"/>
      <w:r>
        <w:t>S</w:t>
      </w:r>
      <w:r w:rsidR="00173349">
        <w:t>C</w:t>
      </w:r>
      <w:r>
        <w:t>OT Analysis</w:t>
      </w:r>
    </w:p>
    <w:p w:rsidR="00D7586E" w:rsidRDefault="00173349" w:rsidP="00D7586E">
      <w:r>
        <w:rPr>
          <w:bCs/>
        </w:rPr>
        <w:t>A SC</w:t>
      </w:r>
      <w:r w:rsidR="00D7586E" w:rsidRPr="00D7586E">
        <w:rPr>
          <w:bCs/>
        </w:rPr>
        <w:t>OT analysis (</w:t>
      </w:r>
      <w:r w:rsidR="00D7586E" w:rsidRPr="00D7586E">
        <w:t xml:space="preserve">alternatively </w:t>
      </w:r>
      <w:r w:rsidR="00D7586E" w:rsidRPr="00D7586E">
        <w:rPr>
          <w:bCs/>
        </w:rPr>
        <w:t>SWOT analysis</w:t>
      </w:r>
      <w:r w:rsidR="00D7586E" w:rsidRPr="00D7586E">
        <w:t>) is a planning</w:t>
      </w:r>
      <w:r w:rsidR="00D7586E">
        <w:t xml:space="preserve"> method to evaluate </w:t>
      </w:r>
      <w:r w:rsidR="00D7586E" w:rsidRPr="00D7586E">
        <w:rPr>
          <w:b/>
          <w:bCs/>
        </w:rPr>
        <w:t>S</w:t>
      </w:r>
      <w:r w:rsidR="00D7586E" w:rsidRPr="00D7586E">
        <w:t xml:space="preserve">trengths, </w:t>
      </w:r>
      <w:r>
        <w:rPr>
          <w:b/>
        </w:rPr>
        <w:t>C</w:t>
      </w:r>
      <w:r w:rsidRPr="00173349">
        <w:t>hallenge</w:t>
      </w:r>
      <w:r w:rsidR="00D7586E" w:rsidRPr="00D7586E">
        <w:t xml:space="preserve">, </w:t>
      </w:r>
      <w:r w:rsidR="00D7586E" w:rsidRPr="00D7586E">
        <w:rPr>
          <w:b/>
          <w:bCs/>
        </w:rPr>
        <w:t>O</w:t>
      </w:r>
      <w:r w:rsidR="00D7586E" w:rsidRPr="00D7586E">
        <w:t xml:space="preserve">pportunities, and </w:t>
      </w:r>
      <w:r w:rsidR="00D7586E" w:rsidRPr="00D7586E">
        <w:rPr>
          <w:b/>
          <w:bCs/>
        </w:rPr>
        <w:t>T</w:t>
      </w:r>
      <w:r w:rsidR="00D7586E" w:rsidRPr="00D7586E">
        <w:t>hreats</w:t>
      </w:r>
      <w:r w:rsidR="00D7586E">
        <w:t>.  A S</w:t>
      </w:r>
      <w:r>
        <w:t>C</w:t>
      </w:r>
      <w:r w:rsidR="00D7586E">
        <w:t xml:space="preserve">OT </w:t>
      </w:r>
      <w:r w:rsidR="00D7586E" w:rsidRPr="00D7586E">
        <w:t>identif</w:t>
      </w:r>
      <w:r w:rsidR="00D7586E">
        <w:t>ies</w:t>
      </w:r>
      <w:r w:rsidR="00D7586E" w:rsidRPr="00D7586E">
        <w:t xml:space="preserve"> the internal and external factors that are favorable and unfavorable to achieve </w:t>
      </w:r>
      <w:r w:rsidR="00D7586E">
        <w:t>goals</w:t>
      </w:r>
      <w:r w:rsidR="000D14AB">
        <w:t xml:space="preserve"> and objectives</w:t>
      </w:r>
      <w:r w:rsidR="00D7586E" w:rsidRPr="00D7586E">
        <w:t xml:space="preserve">. </w:t>
      </w:r>
      <w:r w:rsidR="00D7586E">
        <w:t>A S</w:t>
      </w:r>
      <w:r>
        <w:t>C</w:t>
      </w:r>
      <w:r w:rsidR="00D7586E" w:rsidRPr="00D7586E">
        <w:t>OT analysis may be incorporated into the strategic plan.</w:t>
      </w:r>
      <w:r w:rsidR="002657E3">
        <w:t xml:space="preserve">  The following describes the evaluation categories.</w:t>
      </w:r>
    </w:p>
    <w:p w:rsidR="000D14AB" w:rsidRPr="002657E3" w:rsidRDefault="000D14AB" w:rsidP="002379A3">
      <w:pPr>
        <w:spacing w:after="0"/>
        <w:rPr>
          <w:b/>
        </w:rPr>
      </w:pPr>
      <w:r w:rsidRPr="002657E3">
        <w:rPr>
          <w:b/>
        </w:rPr>
        <w:t xml:space="preserve">Internal </w:t>
      </w:r>
      <w:r w:rsidR="00EE3105">
        <w:rPr>
          <w:b/>
        </w:rPr>
        <w:t>Analysis</w:t>
      </w:r>
      <w:r w:rsidRPr="002657E3">
        <w:rPr>
          <w:b/>
        </w:rPr>
        <w:t>:</w:t>
      </w:r>
    </w:p>
    <w:p w:rsidR="00D7586E" w:rsidRPr="00D7586E" w:rsidRDefault="00D7586E" w:rsidP="002379A3">
      <w:pPr>
        <w:numPr>
          <w:ilvl w:val="0"/>
          <w:numId w:val="1"/>
        </w:numPr>
        <w:spacing w:after="0"/>
      </w:pPr>
      <w:r w:rsidRPr="00D7586E">
        <w:rPr>
          <w:b/>
          <w:bCs/>
        </w:rPr>
        <w:t>S</w:t>
      </w:r>
      <w:r w:rsidRPr="00D7586E">
        <w:t xml:space="preserve">trengths: </w:t>
      </w:r>
      <w:r w:rsidR="000D14AB">
        <w:rPr>
          <w:i/>
        </w:rPr>
        <w:t xml:space="preserve">internal </w:t>
      </w:r>
      <w:r w:rsidRPr="00D7586E">
        <w:t xml:space="preserve">characteristics that give an advantage </w:t>
      </w:r>
      <w:r w:rsidR="00E06784">
        <w:t>to achieve performance goals</w:t>
      </w:r>
    </w:p>
    <w:p w:rsidR="00D7586E" w:rsidRDefault="00173349" w:rsidP="002379A3">
      <w:pPr>
        <w:numPr>
          <w:ilvl w:val="0"/>
          <w:numId w:val="1"/>
        </w:numPr>
        <w:spacing w:after="0"/>
      </w:pPr>
      <w:r>
        <w:rPr>
          <w:b/>
          <w:bCs/>
        </w:rPr>
        <w:t>C</w:t>
      </w:r>
      <w:r w:rsidRPr="00173349">
        <w:rPr>
          <w:bCs/>
        </w:rPr>
        <w:t>hallenges</w:t>
      </w:r>
      <w:r w:rsidR="00D7586E" w:rsidRPr="00D7586E">
        <w:t xml:space="preserve">: </w:t>
      </w:r>
      <w:r w:rsidR="000D14AB">
        <w:rPr>
          <w:i/>
        </w:rPr>
        <w:t xml:space="preserve">internal </w:t>
      </w:r>
      <w:r w:rsidR="00D7586E" w:rsidRPr="00D7586E">
        <w:t xml:space="preserve">characteristics that place </w:t>
      </w:r>
      <w:r w:rsidR="00E06784">
        <w:t xml:space="preserve">you </w:t>
      </w:r>
      <w:r w:rsidR="00D7586E" w:rsidRPr="00D7586E">
        <w:t xml:space="preserve">at a </w:t>
      </w:r>
      <w:r w:rsidR="00E06784">
        <w:t>risk for not achieving performance goals</w:t>
      </w:r>
    </w:p>
    <w:p w:rsidR="00EE3105" w:rsidRDefault="00EE3105" w:rsidP="00EE3105">
      <w:pPr>
        <w:spacing w:after="0"/>
      </w:pPr>
      <w:r>
        <w:t>Factors can be evaluated across the organization in areas such as:</w:t>
      </w: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  <w:sectPr w:rsidR="00EE3105" w:rsidSect="003D4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</w:pPr>
      <w:r>
        <w:lastRenderedPageBreak/>
        <w:t>Agency culture</w:t>
      </w: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</w:pPr>
      <w:r>
        <w:t>Agency image</w:t>
      </w: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</w:pPr>
      <w:r>
        <w:t>Organizational structure</w:t>
      </w: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</w:pPr>
      <w:r>
        <w:t>Key staff</w:t>
      </w: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</w:pPr>
      <w:r>
        <w:t>Operational efficiency</w:t>
      </w: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</w:pPr>
      <w:r>
        <w:lastRenderedPageBreak/>
        <w:t>Operational effectiveness</w:t>
      </w: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</w:pPr>
      <w:r>
        <w:t>Community awareness</w:t>
      </w: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</w:pPr>
      <w:r>
        <w:t>Market share</w:t>
      </w:r>
    </w:p>
    <w:p w:rsidR="00EE3105" w:rsidRDefault="00EE3105" w:rsidP="00EE3105">
      <w:pPr>
        <w:pStyle w:val="ListParagraph"/>
        <w:numPr>
          <w:ilvl w:val="0"/>
          <w:numId w:val="5"/>
        </w:numPr>
        <w:spacing w:after="0"/>
      </w:pPr>
      <w:r>
        <w:t>Financial Resources</w:t>
      </w:r>
    </w:p>
    <w:p w:rsidR="00EE3105" w:rsidRDefault="00EE3105" w:rsidP="002379A3">
      <w:pPr>
        <w:spacing w:after="0"/>
        <w:rPr>
          <w:b/>
        </w:rPr>
      </w:pPr>
    </w:p>
    <w:p w:rsidR="00EE3105" w:rsidRDefault="00EE3105" w:rsidP="002379A3">
      <w:pPr>
        <w:spacing w:after="0"/>
        <w:rPr>
          <w:b/>
        </w:rPr>
        <w:sectPr w:rsidR="00EE3105" w:rsidSect="00EE3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3105" w:rsidRDefault="00EE3105" w:rsidP="002379A3">
      <w:pPr>
        <w:spacing w:after="0"/>
        <w:rPr>
          <w:b/>
        </w:rPr>
      </w:pPr>
    </w:p>
    <w:p w:rsidR="000D14AB" w:rsidRPr="002657E3" w:rsidRDefault="000D14AB" w:rsidP="002379A3">
      <w:pPr>
        <w:spacing w:after="0"/>
        <w:rPr>
          <w:b/>
        </w:rPr>
      </w:pPr>
      <w:r w:rsidRPr="002657E3">
        <w:rPr>
          <w:b/>
        </w:rPr>
        <w:t xml:space="preserve">External </w:t>
      </w:r>
      <w:r w:rsidR="00EE3105">
        <w:rPr>
          <w:b/>
        </w:rPr>
        <w:t>Analysis</w:t>
      </w:r>
      <w:r w:rsidRPr="002657E3">
        <w:rPr>
          <w:b/>
        </w:rPr>
        <w:t>:</w:t>
      </w:r>
    </w:p>
    <w:p w:rsidR="00D7586E" w:rsidRPr="00E06784" w:rsidRDefault="00D7586E" w:rsidP="00D7586E">
      <w:pPr>
        <w:numPr>
          <w:ilvl w:val="0"/>
          <w:numId w:val="1"/>
        </w:numPr>
        <w:spacing w:after="0"/>
        <w:rPr>
          <w:b/>
          <w:bCs/>
        </w:rPr>
      </w:pPr>
      <w:r w:rsidRPr="00E06784">
        <w:rPr>
          <w:b/>
          <w:bCs/>
        </w:rPr>
        <w:t>O</w:t>
      </w:r>
      <w:r w:rsidRPr="00D7586E">
        <w:t xml:space="preserve">pportunities: </w:t>
      </w:r>
      <w:r w:rsidRPr="00E06784">
        <w:rPr>
          <w:i/>
          <w:iCs/>
        </w:rPr>
        <w:t>external</w:t>
      </w:r>
      <w:r w:rsidRPr="00D7586E">
        <w:t xml:space="preserve"> </w:t>
      </w:r>
      <w:r w:rsidR="00E06784">
        <w:t>opportunities to improve transit performance</w:t>
      </w:r>
    </w:p>
    <w:p w:rsidR="00350A88" w:rsidRDefault="00D7586E" w:rsidP="00EE3105">
      <w:pPr>
        <w:numPr>
          <w:ilvl w:val="0"/>
          <w:numId w:val="1"/>
        </w:numPr>
        <w:spacing w:after="0"/>
      </w:pPr>
      <w:r w:rsidRPr="00350A88">
        <w:rPr>
          <w:b/>
          <w:bCs/>
        </w:rPr>
        <w:t>T</w:t>
      </w:r>
      <w:r w:rsidRPr="00350A88">
        <w:t>hreats:</w:t>
      </w:r>
      <w:r w:rsidRPr="00E06784">
        <w:rPr>
          <w:i/>
          <w:iCs/>
        </w:rPr>
        <w:t xml:space="preserve"> externa</w:t>
      </w:r>
      <w:r w:rsidRPr="00350A88">
        <w:rPr>
          <w:i/>
          <w:iCs/>
        </w:rPr>
        <w:t>l</w:t>
      </w:r>
      <w:r w:rsidRPr="00350A88">
        <w:t xml:space="preserve"> elements that could cause trouble </w:t>
      </w:r>
    </w:p>
    <w:p w:rsidR="00EE3105" w:rsidRDefault="00EE3105" w:rsidP="00EE3105">
      <w:pPr>
        <w:spacing w:after="0"/>
      </w:pPr>
      <w:r>
        <w:t>Factors can be related to areas such as:</w:t>
      </w:r>
    </w:p>
    <w:p w:rsidR="00EE3105" w:rsidRDefault="00EE3105" w:rsidP="00EE3105">
      <w:pPr>
        <w:pStyle w:val="ListParagraph"/>
        <w:numPr>
          <w:ilvl w:val="0"/>
          <w:numId w:val="6"/>
        </w:numPr>
        <w:spacing w:after="0"/>
        <w:sectPr w:rsidR="00EE3105" w:rsidSect="00EE3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3105" w:rsidRDefault="00EE3105" w:rsidP="00EE3105">
      <w:pPr>
        <w:pStyle w:val="ListParagraph"/>
        <w:numPr>
          <w:ilvl w:val="0"/>
          <w:numId w:val="6"/>
        </w:numPr>
      </w:pPr>
      <w:r>
        <w:lastRenderedPageBreak/>
        <w:t>Customers</w:t>
      </w:r>
    </w:p>
    <w:p w:rsidR="00EE3105" w:rsidRDefault="00EE3105" w:rsidP="00EE3105">
      <w:pPr>
        <w:pStyle w:val="ListParagraph"/>
        <w:numPr>
          <w:ilvl w:val="0"/>
          <w:numId w:val="6"/>
        </w:numPr>
      </w:pPr>
      <w:r>
        <w:t>Population trends</w:t>
      </w:r>
    </w:p>
    <w:p w:rsidR="00EE3105" w:rsidRDefault="00EE3105" w:rsidP="00EE3105">
      <w:pPr>
        <w:pStyle w:val="ListParagraph"/>
        <w:numPr>
          <w:ilvl w:val="0"/>
          <w:numId w:val="6"/>
        </w:numPr>
      </w:pPr>
      <w:r>
        <w:t>Suppliers</w:t>
      </w:r>
    </w:p>
    <w:p w:rsidR="00EE3105" w:rsidRDefault="00EE3105" w:rsidP="00EE3105">
      <w:pPr>
        <w:pStyle w:val="ListParagraph"/>
        <w:numPr>
          <w:ilvl w:val="0"/>
          <w:numId w:val="6"/>
        </w:numPr>
      </w:pPr>
      <w:r>
        <w:t>Partners</w:t>
      </w:r>
    </w:p>
    <w:p w:rsidR="00EE3105" w:rsidRDefault="00EE3105" w:rsidP="00EE3105">
      <w:pPr>
        <w:pStyle w:val="ListParagraph"/>
        <w:numPr>
          <w:ilvl w:val="0"/>
          <w:numId w:val="6"/>
        </w:numPr>
      </w:pPr>
      <w:r>
        <w:lastRenderedPageBreak/>
        <w:t>Social changes</w:t>
      </w:r>
    </w:p>
    <w:p w:rsidR="00EE3105" w:rsidRDefault="00EE3105" w:rsidP="00EE3105">
      <w:pPr>
        <w:pStyle w:val="ListParagraph"/>
        <w:numPr>
          <w:ilvl w:val="0"/>
          <w:numId w:val="6"/>
        </w:numPr>
      </w:pPr>
      <w:r>
        <w:t>New technology</w:t>
      </w:r>
    </w:p>
    <w:p w:rsidR="00EE3105" w:rsidRDefault="00EE3105" w:rsidP="00EE3105">
      <w:pPr>
        <w:pStyle w:val="ListParagraph"/>
        <w:numPr>
          <w:ilvl w:val="0"/>
          <w:numId w:val="6"/>
        </w:numPr>
      </w:pPr>
      <w:r>
        <w:t>Economic environment</w:t>
      </w:r>
    </w:p>
    <w:p w:rsidR="00EE3105" w:rsidRDefault="00EE3105" w:rsidP="00EE3105">
      <w:pPr>
        <w:pStyle w:val="ListParagraph"/>
        <w:numPr>
          <w:ilvl w:val="0"/>
          <w:numId w:val="6"/>
        </w:numPr>
      </w:pPr>
      <w:r>
        <w:t>Political and regulatory environment</w:t>
      </w:r>
    </w:p>
    <w:p w:rsidR="00EE3105" w:rsidRDefault="00EE3105" w:rsidP="00825E28">
      <w:pPr>
        <w:sectPr w:rsidR="00EE3105" w:rsidSect="00EE3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5B62" w:rsidRDefault="00155B62" w:rsidP="00825E28"/>
    <w:p w:rsidR="00155B62" w:rsidRPr="00155B62" w:rsidRDefault="00C103D9" w:rsidP="00825E28">
      <w:pPr>
        <w:rPr>
          <w:b/>
        </w:rPr>
      </w:pPr>
      <w:r>
        <w:rPr>
          <w:b/>
        </w:rPr>
        <w:t>SCOT Brainstorm Activity</w:t>
      </w:r>
      <w:r w:rsidR="00155B62" w:rsidRPr="00155B62">
        <w:rPr>
          <w:b/>
        </w:rPr>
        <w:t>:</w:t>
      </w:r>
    </w:p>
    <w:p w:rsidR="00825E28" w:rsidRDefault="00825E28" w:rsidP="00825E28">
      <w:r>
        <w:t xml:space="preserve">Think about </w:t>
      </w:r>
      <w:r w:rsidR="00C103D9">
        <w:t>your transit agency and the</w:t>
      </w:r>
      <w:r>
        <w:t xml:space="preserve"> vision, </w:t>
      </w:r>
      <w:r w:rsidR="00066E09">
        <w:t xml:space="preserve">mission, </w:t>
      </w:r>
      <w:r>
        <w:t xml:space="preserve">goals and objectives.  First think about internal factors and then second think about external factors.  </w:t>
      </w:r>
      <w:r w:rsidRPr="00825E28">
        <w:t xml:space="preserve">What may represent strengths with respect to one may be a limitation for another.  List all items as a brainstorm – no items are good or bad – this is a free flow of ideas.  </w:t>
      </w:r>
      <w:r w:rsidR="00155B62">
        <w:t>Please fill in the matrix below.</w:t>
      </w:r>
    </w:p>
    <w:p w:rsidR="00155B62" w:rsidRDefault="00155B62" w:rsidP="00825E28"/>
    <w:p w:rsidR="00155B62" w:rsidRDefault="00155B62" w:rsidP="00825E28"/>
    <w:p w:rsidR="00155B62" w:rsidRDefault="00155B62" w:rsidP="00825E28"/>
    <w:p w:rsidR="00155B62" w:rsidRDefault="00155B62" w:rsidP="00825E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428"/>
      </w:tblGrid>
      <w:tr w:rsidR="00155B62" w:rsidRPr="002657E3" w:rsidTr="00155B62">
        <w:trPr>
          <w:trHeight w:val="333"/>
        </w:trPr>
        <w:tc>
          <w:tcPr>
            <w:tcW w:w="5000" w:type="pct"/>
            <w:gridSpan w:val="2"/>
            <w:shd w:val="clear" w:color="auto" w:fill="B8CCE4" w:themeFill="accent1" w:themeFillTint="66"/>
            <w:vAlign w:val="bottom"/>
            <w:hideMark/>
          </w:tcPr>
          <w:p w:rsidR="00155B62" w:rsidRDefault="00155B62" w:rsidP="00155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Internal Analysis</w:t>
            </w:r>
          </w:p>
        </w:tc>
      </w:tr>
      <w:tr w:rsidR="00155B62" w:rsidRPr="002657E3" w:rsidTr="00155B62">
        <w:trPr>
          <w:trHeight w:val="333"/>
        </w:trPr>
        <w:tc>
          <w:tcPr>
            <w:tcW w:w="2688" w:type="pct"/>
            <w:hideMark/>
          </w:tcPr>
          <w:p w:rsidR="00155B62" w:rsidRPr="002657E3" w:rsidRDefault="00155B62" w:rsidP="00066E09">
            <w:pPr>
              <w:jc w:val="center"/>
              <w:rPr>
                <w:b/>
                <w:bCs/>
              </w:rPr>
            </w:pPr>
            <w:r w:rsidRPr="002657E3">
              <w:rPr>
                <w:b/>
                <w:bCs/>
              </w:rPr>
              <w:t>Strengths</w:t>
            </w:r>
          </w:p>
        </w:tc>
        <w:tc>
          <w:tcPr>
            <w:tcW w:w="2312" w:type="pct"/>
            <w:hideMark/>
          </w:tcPr>
          <w:p w:rsidR="00155B62" w:rsidRPr="002657E3" w:rsidRDefault="00155B62" w:rsidP="000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Challenges</w:t>
            </w:r>
          </w:p>
        </w:tc>
      </w:tr>
      <w:tr w:rsidR="00155B62" w:rsidRPr="002657E3" w:rsidTr="00066E09">
        <w:trPr>
          <w:trHeight w:val="5507"/>
        </w:trPr>
        <w:tc>
          <w:tcPr>
            <w:tcW w:w="2688" w:type="pct"/>
            <w:hideMark/>
          </w:tcPr>
          <w:p w:rsidR="00155B62" w:rsidRDefault="00155B62" w:rsidP="00066E09">
            <w:pPr>
              <w:pStyle w:val="ListParagraph"/>
            </w:pPr>
          </w:p>
          <w:p w:rsidR="00155B62" w:rsidRDefault="00155B62" w:rsidP="00066E09">
            <w:pPr>
              <w:pStyle w:val="ListParagraph"/>
            </w:pPr>
          </w:p>
          <w:p w:rsidR="00155B62" w:rsidRDefault="00155B62" w:rsidP="00155B62"/>
          <w:p w:rsidR="00155B62" w:rsidRDefault="00155B62" w:rsidP="00155B62"/>
          <w:p w:rsidR="00155B62" w:rsidRDefault="00155B62" w:rsidP="00155B62"/>
          <w:p w:rsidR="00155B62" w:rsidRDefault="00155B62" w:rsidP="00155B62"/>
          <w:p w:rsidR="00155B62" w:rsidRDefault="00155B62" w:rsidP="00155B62">
            <w:pPr>
              <w:pStyle w:val="ListParagraph"/>
            </w:pPr>
          </w:p>
          <w:p w:rsidR="00155B62" w:rsidRPr="002657E3" w:rsidRDefault="00155B62" w:rsidP="00155B62">
            <w:pPr>
              <w:pStyle w:val="ListParagraph"/>
            </w:pPr>
          </w:p>
        </w:tc>
        <w:tc>
          <w:tcPr>
            <w:tcW w:w="2312" w:type="pct"/>
            <w:hideMark/>
          </w:tcPr>
          <w:p w:rsidR="00155B62" w:rsidRDefault="00155B62" w:rsidP="00066E09"/>
          <w:p w:rsidR="00155B62" w:rsidRDefault="00155B62" w:rsidP="00155B62"/>
          <w:p w:rsidR="00155B62" w:rsidRPr="002657E3" w:rsidRDefault="00155B62" w:rsidP="00155B62"/>
        </w:tc>
      </w:tr>
      <w:tr w:rsidR="00155B62" w:rsidRPr="002657E3" w:rsidTr="00155B62">
        <w:trPr>
          <w:trHeight w:val="333"/>
        </w:trPr>
        <w:tc>
          <w:tcPr>
            <w:tcW w:w="5000" w:type="pct"/>
            <w:gridSpan w:val="2"/>
            <w:shd w:val="clear" w:color="auto" w:fill="FBD4B4" w:themeFill="accent6" w:themeFillTint="66"/>
            <w:vAlign w:val="bottom"/>
            <w:hideMark/>
          </w:tcPr>
          <w:p w:rsidR="00155B62" w:rsidRPr="002657E3" w:rsidRDefault="00155B62" w:rsidP="0006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External Analysis</w:t>
            </w:r>
          </w:p>
        </w:tc>
      </w:tr>
      <w:tr w:rsidR="00155B62" w:rsidRPr="002657E3" w:rsidTr="00155B62">
        <w:trPr>
          <w:trHeight w:val="333"/>
        </w:trPr>
        <w:tc>
          <w:tcPr>
            <w:tcW w:w="2688" w:type="pct"/>
            <w:hideMark/>
          </w:tcPr>
          <w:p w:rsidR="00155B62" w:rsidRPr="002657E3" w:rsidRDefault="00155B62" w:rsidP="00066E09">
            <w:pPr>
              <w:tabs>
                <w:tab w:val="right" w:pos="2044"/>
              </w:tabs>
              <w:jc w:val="center"/>
              <w:rPr>
                <w:b/>
                <w:bCs/>
              </w:rPr>
            </w:pPr>
            <w:r w:rsidRPr="002657E3">
              <w:rPr>
                <w:b/>
                <w:bCs/>
              </w:rPr>
              <w:t>Opportunities</w:t>
            </w:r>
          </w:p>
        </w:tc>
        <w:tc>
          <w:tcPr>
            <w:tcW w:w="2312" w:type="pct"/>
            <w:hideMark/>
          </w:tcPr>
          <w:p w:rsidR="00155B62" w:rsidRPr="002657E3" w:rsidRDefault="00155B62" w:rsidP="00066E09">
            <w:pPr>
              <w:jc w:val="center"/>
              <w:rPr>
                <w:b/>
                <w:bCs/>
              </w:rPr>
            </w:pPr>
            <w:r w:rsidRPr="002657E3">
              <w:rPr>
                <w:b/>
                <w:bCs/>
              </w:rPr>
              <w:t>Threats</w:t>
            </w:r>
          </w:p>
        </w:tc>
      </w:tr>
      <w:tr w:rsidR="00155B62" w:rsidRPr="002657E3" w:rsidTr="00066E09">
        <w:trPr>
          <w:trHeight w:val="5507"/>
        </w:trPr>
        <w:tc>
          <w:tcPr>
            <w:tcW w:w="2688" w:type="pct"/>
            <w:hideMark/>
          </w:tcPr>
          <w:p w:rsidR="00155B62" w:rsidRDefault="00155B62" w:rsidP="00066E09">
            <w:pPr>
              <w:pStyle w:val="ListParagraph"/>
            </w:pPr>
          </w:p>
          <w:p w:rsidR="00155B62" w:rsidRDefault="00155B62" w:rsidP="00155B62"/>
          <w:p w:rsidR="00155B62" w:rsidRDefault="00155B62" w:rsidP="00155B62"/>
          <w:p w:rsidR="00155B62" w:rsidRDefault="00155B62" w:rsidP="00155B62"/>
          <w:p w:rsidR="00155B62" w:rsidRPr="002657E3" w:rsidRDefault="00155B62" w:rsidP="00155B62"/>
        </w:tc>
        <w:tc>
          <w:tcPr>
            <w:tcW w:w="2312" w:type="pct"/>
            <w:hideMark/>
          </w:tcPr>
          <w:p w:rsidR="00155B62" w:rsidRPr="002657E3" w:rsidRDefault="00155B62" w:rsidP="00066E09">
            <w:pPr>
              <w:pStyle w:val="ListParagraph"/>
            </w:pPr>
            <w:r>
              <w:t xml:space="preserve">  </w:t>
            </w:r>
          </w:p>
        </w:tc>
      </w:tr>
    </w:tbl>
    <w:p w:rsidR="003D4C6D" w:rsidRDefault="003D4C6D"/>
    <w:sectPr w:rsidR="003D4C6D" w:rsidSect="00EE3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059E"/>
    <w:multiLevelType w:val="hybridMultilevel"/>
    <w:tmpl w:val="3952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1ACB"/>
    <w:multiLevelType w:val="hybridMultilevel"/>
    <w:tmpl w:val="122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197C"/>
    <w:multiLevelType w:val="hybridMultilevel"/>
    <w:tmpl w:val="3952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95"/>
    <w:multiLevelType w:val="hybridMultilevel"/>
    <w:tmpl w:val="C900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29A2"/>
    <w:multiLevelType w:val="hybridMultilevel"/>
    <w:tmpl w:val="EB1E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B2966"/>
    <w:multiLevelType w:val="hybridMultilevel"/>
    <w:tmpl w:val="E5DE27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6703D92"/>
    <w:multiLevelType w:val="hybridMultilevel"/>
    <w:tmpl w:val="7DB02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36B4A"/>
    <w:multiLevelType w:val="hybridMultilevel"/>
    <w:tmpl w:val="A9D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46003"/>
    <w:multiLevelType w:val="multilevel"/>
    <w:tmpl w:val="451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92A56"/>
    <w:multiLevelType w:val="hybridMultilevel"/>
    <w:tmpl w:val="9FD6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7586E"/>
    <w:rsid w:val="00066E09"/>
    <w:rsid w:val="000B0E1F"/>
    <w:rsid w:val="000B5B82"/>
    <w:rsid w:val="000D14AB"/>
    <w:rsid w:val="00155B62"/>
    <w:rsid w:val="00173349"/>
    <w:rsid w:val="0021433F"/>
    <w:rsid w:val="00226B59"/>
    <w:rsid w:val="002379A3"/>
    <w:rsid w:val="0025782B"/>
    <w:rsid w:val="002657E3"/>
    <w:rsid w:val="00280D1C"/>
    <w:rsid w:val="00292763"/>
    <w:rsid w:val="00295041"/>
    <w:rsid w:val="002B6FBA"/>
    <w:rsid w:val="00306D43"/>
    <w:rsid w:val="00350A88"/>
    <w:rsid w:val="00362859"/>
    <w:rsid w:val="00381AF9"/>
    <w:rsid w:val="003D4C6D"/>
    <w:rsid w:val="004A6B14"/>
    <w:rsid w:val="00522A8A"/>
    <w:rsid w:val="00581C3F"/>
    <w:rsid w:val="0069753A"/>
    <w:rsid w:val="00747BE7"/>
    <w:rsid w:val="00755FC0"/>
    <w:rsid w:val="0080118D"/>
    <w:rsid w:val="008145AC"/>
    <w:rsid w:val="00825E28"/>
    <w:rsid w:val="008962BE"/>
    <w:rsid w:val="008E3062"/>
    <w:rsid w:val="00925951"/>
    <w:rsid w:val="009C41BF"/>
    <w:rsid w:val="00A168BA"/>
    <w:rsid w:val="00A75B04"/>
    <w:rsid w:val="00B37A12"/>
    <w:rsid w:val="00C103D9"/>
    <w:rsid w:val="00C524D5"/>
    <w:rsid w:val="00D3676B"/>
    <w:rsid w:val="00D62163"/>
    <w:rsid w:val="00D7586E"/>
    <w:rsid w:val="00DE6EF3"/>
    <w:rsid w:val="00E06784"/>
    <w:rsid w:val="00E860B4"/>
    <w:rsid w:val="00EE3105"/>
    <w:rsid w:val="00EE4D93"/>
    <w:rsid w:val="00EF2DB9"/>
    <w:rsid w:val="00F1797C"/>
    <w:rsid w:val="00F90A0C"/>
    <w:rsid w:val="00FA3382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4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2763"/>
    <w:pPr>
      <w:keepNext/>
      <w:widowControl w:val="0"/>
      <w:spacing w:after="240"/>
      <w:jc w:val="center"/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E1F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763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E1F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B0E1F"/>
    <w:pPr>
      <w:jc w:val="center"/>
    </w:pPr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D75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92B547-FF09-4D24-9708-0AF2D80B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Transportation Institute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s-edrington</dc:creator>
  <cp:lastModifiedBy>TxDOT</cp:lastModifiedBy>
  <cp:revision>2</cp:revision>
  <dcterms:created xsi:type="dcterms:W3CDTF">2015-03-30T19:53:00Z</dcterms:created>
  <dcterms:modified xsi:type="dcterms:W3CDTF">2015-03-30T19:53:00Z</dcterms:modified>
</cp:coreProperties>
</file>